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75" w:rsidRPr="00D73475" w:rsidRDefault="00D73475" w:rsidP="00D73475">
      <w:pPr>
        <w:pStyle w:val="3"/>
        <w:rPr>
          <w:rFonts w:ascii="仿宋" w:eastAsia="仿宋" w:hAnsi="仿宋" w:hint="eastAsia"/>
          <w:b/>
          <w:sz w:val="34"/>
          <w:szCs w:val="30"/>
        </w:rPr>
      </w:pPr>
      <w:bookmarkStart w:id="0" w:name="_Toc260917698"/>
      <w:bookmarkStart w:id="1" w:name="_Toc313538388"/>
      <w:bookmarkStart w:id="2" w:name="_Toc313538526"/>
      <w:r w:rsidRPr="00D73475">
        <w:rPr>
          <w:rFonts w:ascii="仿宋" w:eastAsia="仿宋" w:hAnsi="仿宋"/>
          <w:b/>
          <w:sz w:val="34"/>
          <w:szCs w:val="30"/>
        </w:rPr>
        <w:t>企业内部控制应用指引第</w:t>
      </w:r>
      <w:r w:rsidRPr="00D73475">
        <w:rPr>
          <w:rFonts w:ascii="仿宋" w:eastAsia="仿宋" w:hAnsi="仿宋" w:hint="eastAsia"/>
          <w:b/>
          <w:sz w:val="34"/>
          <w:szCs w:val="30"/>
        </w:rPr>
        <w:t>8</w:t>
      </w:r>
      <w:r w:rsidRPr="00D73475">
        <w:rPr>
          <w:rFonts w:ascii="仿宋" w:eastAsia="仿宋" w:hAnsi="仿宋"/>
          <w:b/>
          <w:sz w:val="34"/>
          <w:szCs w:val="30"/>
        </w:rPr>
        <w:t>号——</w:t>
      </w:r>
      <w:r w:rsidRPr="00D73475">
        <w:rPr>
          <w:rFonts w:ascii="仿宋" w:eastAsia="仿宋" w:hAnsi="仿宋" w:hint="eastAsia"/>
          <w:b/>
          <w:sz w:val="34"/>
          <w:szCs w:val="30"/>
        </w:rPr>
        <w:t>资产管理</w:t>
      </w:r>
      <w:bookmarkEnd w:id="0"/>
      <w:bookmarkEnd w:id="1"/>
      <w:bookmarkEnd w:id="2"/>
    </w:p>
    <w:p w:rsidR="00D73475" w:rsidRPr="00D73475" w:rsidRDefault="00D73475" w:rsidP="00D73475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 w:rsidRPr="00D73475">
        <w:rPr>
          <w:rFonts w:ascii="仿宋" w:eastAsia="仿宋" w:hAnsi="仿宋"/>
          <w:b/>
          <w:sz w:val="32"/>
          <w:szCs w:val="28"/>
        </w:rPr>
        <w:t>第一章  总 则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第一条  </w:t>
      </w:r>
      <w:r w:rsidRPr="00D73475">
        <w:rPr>
          <w:rFonts w:ascii="仿宋" w:eastAsia="仿宋" w:hAnsi="仿宋" w:hint="eastAsia"/>
          <w:sz w:val="28"/>
        </w:rPr>
        <w:t>为了提高资产使用效能，保证资产安全，根据有关法律法规和《企业内部控制基本规范》，制定本指引。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第二条  </w:t>
      </w:r>
      <w:r w:rsidRPr="00D73475">
        <w:rPr>
          <w:rFonts w:ascii="仿宋" w:eastAsia="仿宋" w:hAnsi="仿宋" w:hint="eastAsia"/>
          <w:sz w:val="28"/>
        </w:rPr>
        <w:t>本指引所称资产，是指企业拥有或控制的存货，固定资产和无形资产。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第三条  </w:t>
      </w:r>
      <w:r w:rsidRPr="00D73475">
        <w:rPr>
          <w:rFonts w:ascii="仿宋" w:eastAsia="仿宋" w:hAnsi="仿宋" w:hint="eastAsia"/>
          <w:sz w:val="28"/>
        </w:rPr>
        <w:t>企业资产管理至少应当关注下列风险：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（一）</w:t>
      </w:r>
      <w:r w:rsidRPr="00D73475">
        <w:rPr>
          <w:rFonts w:ascii="仿宋" w:eastAsia="仿宋" w:hAnsi="仿宋" w:hint="eastAsia"/>
          <w:sz w:val="28"/>
        </w:rPr>
        <w:t>存货积压和短缺，可能导致流动资金占用过量、存货价值贬损或生产中断。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（</w:t>
      </w:r>
      <w:r w:rsidRPr="00D73475">
        <w:rPr>
          <w:rFonts w:ascii="仿宋" w:eastAsia="仿宋" w:hAnsi="仿宋" w:hint="eastAsia"/>
          <w:sz w:val="28"/>
        </w:rPr>
        <w:t>二</w:t>
      </w:r>
      <w:r w:rsidRPr="00D73475">
        <w:rPr>
          <w:rFonts w:ascii="仿宋" w:eastAsia="仿宋" w:hAnsi="仿宋"/>
          <w:sz w:val="28"/>
        </w:rPr>
        <w:t>）</w:t>
      </w:r>
      <w:r w:rsidRPr="00D73475">
        <w:rPr>
          <w:rFonts w:ascii="仿宋" w:eastAsia="仿宋" w:hAnsi="仿宋" w:hint="eastAsia"/>
          <w:sz w:val="28"/>
        </w:rPr>
        <w:t>固定资产更新改造不够、使用效能低下、维护不当、产能过剩，可能导致企业缺乏竞争力、资产价值贬损、安全事故频发或资源浪费。</w:t>
      </w:r>
    </w:p>
    <w:p w:rsidR="00D73475" w:rsidRPr="00D73475" w:rsidRDefault="00D73475" w:rsidP="00D73475">
      <w:pPr>
        <w:spacing w:line="360" w:lineRule="auto"/>
        <w:ind w:firstLine="555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（三）</w:t>
      </w:r>
      <w:r w:rsidRPr="00D73475">
        <w:rPr>
          <w:rFonts w:ascii="仿宋" w:eastAsia="仿宋" w:hAnsi="仿宋" w:hint="eastAsia"/>
          <w:sz w:val="28"/>
        </w:rPr>
        <w:t>无形资产缺乏核心技术、权属不清、技术落后、存在重大技术安全隐患，可能导致企业法律纠纷、缺乏可持续发展能力。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四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企业应当加强各项资产管理，全面梳理资产管理流程，及时发现资产管理中的薄弱环节，切实采取有效措施加以改进，并关注资产减值迹象，合理确认资产减值损失，不断提高企业资产管理水平。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企业应当重视和加强各项资产的投保工作，采用招标等方式确定保险人，降低资产损失风险，防范资产投保舞弊。</w:t>
      </w:r>
    </w:p>
    <w:p w:rsidR="00D73475" w:rsidRPr="00D73475" w:rsidRDefault="00D73475" w:rsidP="00D73475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 w:rsidRPr="00D73475">
        <w:rPr>
          <w:rFonts w:ascii="仿宋" w:eastAsia="仿宋" w:hAnsi="仿宋"/>
          <w:b/>
          <w:sz w:val="32"/>
          <w:szCs w:val="28"/>
        </w:rPr>
        <w:lastRenderedPageBreak/>
        <w:t xml:space="preserve">第二章  </w:t>
      </w:r>
      <w:r w:rsidRPr="00D73475">
        <w:rPr>
          <w:rFonts w:ascii="仿宋" w:eastAsia="仿宋" w:hAnsi="仿宋" w:hint="eastAsia"/>
          <w:b/>
          <w:sz w:val="32"/>
          <w:szCs w:val="28"/>
        </w:rPr>
        <w:t>存货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五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采用先进的存货管理技术和方法，规范存货管理流程，明确存货取得、验收入库、原料加工、仓库保管、领用发出、盘点处置等环节的管理要求，充分利用信息系统，强化会计、出入库等相关记录，确保存货管理全过程的风险得到有效控制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六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企业应当建立存货管理岗位责任制，明确内部相关部门和岗位的职责权限，切实做到不相容岗位相互分离、制约和监督。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企业内部除存货管理、监督部门及仓储人员外，其他部门和人员接触存货，应当经过相关部门特别授权。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七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企业应当重视存货验收工作，规范存货验收程序和方法，对入库存货的数量、质量、技术规格等方面进行查验，验收无误方可入库。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外购存货的验收，应当重点关注合同、发票等原始单据与存货的数量、质量、规格等核对一致。涉及技术含量较高的货物，必要时可委托具有检验资质的机构或聘请外部专家协助验收。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自制存货的验收，应当重点关注产品质量，通过检验合格的半成品、产成品才能办理入库手续，不合格品应及时查明原因、落实责任、报告处理。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其他方式取得存货的验收，应当重点关注存货来源、质量状况、实际价值是否符合有关合同或协议的约定。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第</w:t>
      </w:r>
      <w:r w:rsidRPr="00D73475">
        <w:rPr>
          <w:rFonts w:ascii="仿宋" w:eastAsia="仿宋" w:hAnsi="仿宋" w:hint="eastAsia"/>
          <w:sz w:val="28"/>
        </w:rPr>
        <w:t>八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企业应当建立存货保管制度，定期对存货进行检查，重点关注下列事项：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lastRenderedPageBreak/>
        <w:t xml:space="preserve">    （一）</w:t>
      </w:r>
      <w:r w:rsidRPr="00D73475">
        <w:rPr>
          <w:rFonts w:ascii="仿宋" w:eastAsia="仿宋" w:hAnsi="仿宋" w:hint="eastAsia"/>
          <w:sz w:val="28"/>
        </w:rPr>
        <w:t>存货在不同仓库之间流动时应当办理出入库手续。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（</w:t>
      </w:r>
      <w:r w:rsidRPr="00D73475">
        <w:rPr>
          <w:rFonts w:ascii="仿宋" w:eastAsia="仿宋" w:hAnsi="仿宋" w:hint="eastAsia"/>
          <w:sz w:val="28"/>
        </w:rPr>
        <w:t>二</w:t>
      </w:r>
      <w:r w:rsidRPr="00D73475">
        <w:rPr>
          <w:rFonts w:ascii="仿宋" w:eastAsia="仿宋" w:hAnsi="仿宋"/>
          <w:sz w:val="28"/>
        </w:rPr>
        <w:t>）</w:t>
      </w:r>
      <w:r w:rsidRPr="00D73475">
        <w:rPr>
          <w:rFonts w:ascii="仿宋" w:eastAsia="仿宋" w:hAnsi="仿宋" w:hint="eastAsia"/>
          <w:sz w:val="28"/>
        </w:rPr>
        <w:t>应当按仓库物资所要求的储存条件贮存，并健全防火、防洪、防盗、防潮、防病虫害和防变质等管理规范。</w:t>
      </w:r>
    </w:p>
    <w:p w:rsidR="00D73475" w:rsidRPr="00D73475" w:rsidRDefault="00D73475" w:rsidP="00D73475">
      <w:pPr>
        <w:spacing w:line="360" w:lineRule="auto"/>
        <w:ind w:firstLine="555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（三）</w:t>
      </w:r>
      <w:r w:rsidRPr="00D73475">
        <w:rPr>
          <w:rFonts w:ascii="仿宋" w:eastAsia="仿宋" w:hAnsi="仿宋" w:hint="eastAsia"/>
          <w:sz w:val="28"/>
        </w:rPr>
        <w:t>加强生产现场的材料、周转材料、半成品等物资的管理，防止浪费、防盗和流失。</w:t>
      </w:r>
    </w:p>
    <w:p w:rsidR="00D73475" w:rsidRPr="00D73475" w:rsidRDefault="00D73475" w:rsidP="00D73475">
      <w:pPr>
        <w:spacing w:line="360" w:lineRule="auto"/>
        <w:ind w:firstLineChars="200"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（</w:t>
      </w:r>
      <w:r w:rsidRPr="00D73475">
        <w:rPr>
          <w:rFonts w:ascii="仿宋" w:eastAsia="仿宋" w:hAnsi="仿宋" w:hint="eastAsia"/>
          <w:sz w:val="28"/>
        </w:rPr>
        <w:t>四</w:t>
      </w:r>
      <w:r w:rsidRPr="00D73475">
        <w:rPr>
          <w:rFonts w:ascii="仿宋" w:eastAsia="仿宋" w:hAnsi="仿宋"/>
          <w:sz w:val="28"/>
        </w:rPr>
        <w:t>）</w:t>
      </w:r>
      <w:r w:rsidRPr="00D73475">
        <w:rPr>
          <w:rFonts w:ascii="仿宋" w:eastAsia="仿宋" w:hAnsi="仿宋" w:hint="eastAsia"/>
          <w:sz w:val="28"/>
        </w:rPr>
        <w:t>对代管、代销、暂存、受托加工的存货，应单独存放和记录，避免与本单位存货混淆。</w:t>
      </w:r>
    </w:p>
    <w:p w:rsidR="00D73475" w:rsidRPr="00D73475" w:rsidRDefault="00D73475" w:rsidP="00D73475">
      <w:pPr>
        <w:spacing w:line="360" w:lineRule="auto"/>
        <w:ind w:firstLine="555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（</w:t>
      </w:r>
      <w:r w:rsidRPr="00D73475">
        <w:rPr>
          <w:rFonts w:ascii="仿宋" w:eastAsia="仿宋" w:hAnsi="仿宋" w:hint="eastAsia"/>
          <w:sz w:val="28"/>
        </w:rPr>
        <w:t>五</w:t>
      </w:r>
      <w:r w:rsidRPr="00D73475">
        <w:rPr>
          <w:rFonts w:ascii="仿宋" w:eastAsia="仿宋" w:hAnsi="仿宋"/>
          <w:sz w:val="28"/>
        </w:rPr>
        <w:t>）</w:t>
      </w:r>
      <w:r w:rsidRPr="00D73475">
        <w:rPr>
          <w:rFonts w:ascii="仿宋" w:eastAsia="仿宋" w:hAnsi="仿宋" w:hint="eastAsia"/>
          <w:sz w:val="28"/>
        </w:rPr>
        <w:t>结合企业实际情况，加强存货的保险投保，保证存货安全，合理降低存货意外损失风险。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九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企业应当明确存货发出和领用的审批权限，大批存货、贵重商品或危险品的发出应当实行特别授权。仓储部门应当根据经审批的销售（出库）通知单发出货物。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企业仓储部门应当详细记录存货入库、出库及库存情况，做到存货记录与实际库存相符，并定期与财会部门、存货管理部门进行核对。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第</w:t>
      </w:r>
      <w:r w:rsidRPr="00D73475">
        <w:rPr>
          <w:rFonts w:ascii="仿宋" w:eastAsia="仿宋" w:hAnsi="仿宋" w:hint="eastAsia"/>
          <w:sz w:val="28"/>
        </w:rPr>
        <w:t>十一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企业应当根据各种存货采购间隔期和当前库存，综合考虑企业生产经营计划、市场供求等因素，充分利用信息系统，合理确定存货采购日期和数量，确保存货处于最佳库存状态。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十二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建立存货盘点清查制度，结合本企业实际情况确定盘点周期、盘点流程等相关内容，核查存货数量，及时发现存货减值迹象。企业至少应当于每年年度终了开展全面盘点清查，盘点清查结果应当形成书面报告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lastRenderedPageBreak/>
        <w:t>盘点清查中发现的存货盘盈、盘亏、毁损、闲置以及需要报废的存货，应当查明原因，落实并追究责任，按照规定权限批准后处置。</w:t>
      </w:r>
    </w:p>
    <w:p w:rsidR="00D73475" w:rsidRPr="00D73475" w:rsidRDefault="00D73475" w:rsidP="00D73475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r w:rsidRPr="00D73475">
        <w:rPr>
          <w:rFonts w:ascii="仿宋" w:eastAsia="仿宋" w:hAnsi="仿宋"/>
          <w:b/>
          <w:sz w:val="32"/>
          <w:szCs w:val="28"/>
        </w:rPr>
        <w:t xml:space="preserve">第三章  </w:t>
      </w:r>
      <w:r w:rsidRPr="00D73475">
        <w:rPr>
          <w:rFonts w:ascii="仿宋" w:eastAsia="仿宋" w:hAnsi="仿宋" w:hint="eastAsia"/>
          <w:b/>
          <w:sz w:val="32"/>
          <w:szCs w:val="28"/>
        </w:rPr>
        <w:t>固定资产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十三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企业应当加强房屋建筑物、机器设备等各类固定资产的管理，重视固定资产维护和更新改造，不断提升固定资产的使用效能，积极促进固定资产处于良好运行状态。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第十四条  企业应当制定固定资产目录，对每项固定资产进行编号，按照单项资产建立固定资产卡片，详细记录各项固定资产的来源、验收、使用地点、责任单位和责任人、运转、维修、改造、折旧、盘点等相关内容。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企业应当严格执行固定资产日常维修和大修理计划，定期对固定资产进行维护保养，切实消除安全隐患。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企业应当强化对生产线等关键设备运转的监控，严格操作流程，实行岗前培训和岗位许可制度，确保设备安全运转。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十五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企业应当根据发展战略，充分利用国家有关自主创新政策，加大技术投入，不断促进固定资产技术升级，淘汰落后设备，切实做到保持本企业固定资产技术的先进性和企业发展的可持续性。</w:t>
      </w:r>
    </w:p>
    <w:p w:rsidR="00D73475" w:rsidRPr="00D73475" w:rsidRDefault="00D73475" w:rsidP="00D73475">
      <w:pPr>
        <w:spacing w:line="360" w:lineRule="auto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 xml:space="preserve">    第</w:t>
      </w:r>
      <w:r w:rsidRPr="00D73475">
        <w:rPr>
          <w:rFonts w:ascii="仿宋" w:eastAsia="仿宋" w:hAnsi="仿宋" w:hint="eastAsia"/>
          <w:sz w:val="28"/>
        </w:rPr>
        <w:t>十六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企业应当严格执行固定资产投保政策，对应投保的固定资产项目按规定程序进行审批，及时办理投保手续。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第十</w:t>
      </w:r>
      <w:r w:rsidRPr="00D73475">
        <w:rPr>
          <w:rFonts w:ascii="仿宋" w:eastAsia="仿宋" w:hAnsi="仿宋" w:hint="eastAsia"/>
          <w:sz w:val="28"/>
        </w:rPr>
        <w:t>七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企业应当规范固定资产抵押管理，确定固定资产抵押程序和审批权限等。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lastRenderedPageBreak/>
        <w:t>企业将固定资产用作抵押的，应由相关部门提出申请，经企业授权部门或人员批准后，由资产管理部门办理抵押手续。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企业应当加强对接收的抵押资产的管理，编制专门的资产目录，合理评估抵押资产的价值。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十八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企业应当建立固定资产清查制度，至少每年进行全面清查。对固定资产清查中发现的问题，应当查明原因，追究责任，妥善处理。</w:t>
      </w:r>
    </w:p>
    <w:p w:rsidR="00D73475" w:rsidRPr="00D73475" w:rsidRDefault="00D73475" w:rsidP="00D73475">
      <w:pPr>
        <w:spacing w:line="360" w:lineRule="auto"/>
        <w:ind w:firstLine="57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企业应当加强固定资产处置的控制，关注固定资产处置中的关联交易和处置定价，防范资产流失。</w:t>
      </w:r>
    </w:p>
    <w:p w:rsidR="00D73475" w:rsidRPr="00D73475" w:rsidRDefault="00D73475" w:rsidP="00D73475">
      <w:pPr>
        <w:spacing w:before="240" w:after="240" w:line="360" w:lineRule="auto"/>
        <w:jc w:val="center"/>
        <w:rPr>
          <w:rFonts w:ascii="仿宋" w:eastAsia="仿宋" w:hAnsi="仿宋" w:hint="eastAsia"/>
          <w:b/>
          <w:sz w:val="32"/>
          <w:szCs w:val="28"/>
        </w:rPr>
      </w:pPr>
      <w:bookmarkStart w:id="3" w:name="_GoBack"/>
      <w:r w:rsidRPr="00D73475">
        <w:rPr>
          <w:rFonts w:ascii="仿宋" w:eastAsia="仿宋" w:hAnsi="仿宋"/>
          <w:b/>
          <w:sz w:val="32"/>
          <w:szCs w:val="28"/>
        </w:rPr>
        <w:t>第</w:t>
      </w:r>
      <w:r w:rsidRPr="00D73475">
        <w:rPr>
          <w:rFonts w:ascii="仿宋" w:eastAsia="仿宋" w:hAnsi="仿宋" w:hint="eastAsia"/>
          <w:b/>
          <w:sz w:val="32"/>
          <w:szCs w:val="28"/>
        </w:rPr>
        <w:t>四</w:t>
      </w:r>
      <w:r w:rsidRPr="00D73475">
        <w:rPr>
          <w:rFonts w:ascii="仿宋" w:eastAsia="仿宋" w:hAnsi="仿宋"/>
          <w:b/>
          <w:sz w:val="32"/>
          <w:szCs w:val="28"/>
        </w:rPr>
        <w:t xml:space="preserve">章  </w:t>
      </w:r>
      <w:r w:rsidRPr="00D73475">
        <w:rPr>
          <w:rFonts w:ascii="仿宋" w:eastAsia="仿宋" w:hAnsi="仿宋" w:hint="eastAsia"/>
          <w:b/>
          <w:sz w:val="32"/>
          <w:szCs w:val="28"/>
        </w:rPr>
        <w:t>无形资产</w:t>
      </w:r>
    </w:p>
    <w:bookmarkEnd w:id="3"/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十九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企业应当加强对品牌、商标、专利、专有技术、土地使用权等无形资产的管理，分类制定无形资产管理办法，落实无形资产管理责任制，促进无形资产有效利用，充分发挥无形资产对提升企业核心竞争力的作用。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二十</w:t>
      </w:r>
      <w:r w:rsidRPr="00D73475">
        <w:rPr>
          <w:rFonts w:ascii="仿宋" w:eastAsia="仿宋" w:hAnsi="仿宋"/>
          <w:sz w:val="28"/>
        </w:rPr>
        <w:t xml:space="preserve">条 </w:t>
      </w:r>
      <w:r w:rsidRPr="00D73475">
        <w:rPr>
          <w:rFonts w:ascii="仿宋" w:eastAsia="仿宋" w:hAnsi="仿宋" w:hint="eastAsia"/>
          <w:sz w:val="28"/>
        </w:rPr>
        <w:t xml:space="preserve"> 企业应当全面梳理外购、自行开发以及其他方式取得的各类无形资产的权属关系，加强无形资产权益保护，防范侵权行为和法律风险。无形资产具有保密性质的，应当采取严格保密措施，严防泄露商业秘密。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 w:hint="eastAsia"/>
          <w:sz w:val="28"/>
        </w:rPr>
        <w:t>企业购入或者以支付土地出让金等方式取得的土地使用权，应当取得土地使用权有效证明文件。</w:t>
      </w:r>
    </w:p>
    <w:p w:rsidR="00D73475" w:rsidRPr="00D73475" w:rsidRDefault="00D73475" w:rsidP="00D73475">
      <w:pPr>
        <w:spacing w:line="360" w:lineRule="auto"/>
        <w:ind w:firstLine="560"/>
        <w:rPr>
          <w:rFonts w:ascii="仿宋" w:eastAsia="仿宋" w:hAnsi="仿宋" w:hint="eastAsia"/>
          <w:sz w:val="28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二十一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企业应当定期对专利、专有技术等无形资产的先进</w:t>
      </w:r>
      <w:r w:rsidRPr="00D73475">
        <w:rPr>
          <w:rFonts w:ascii="仿宋" w:eastAsia="仿宋" w:hAnsi="仿宋" w:hint="eastAsia"/>
          <w:sz w:val="28"/>
        </w:rPr>
        <w:lastRenderedPageBreak/>
        <w:t>性进行评估，淘汰落后技术，加大研发投入，促进技术更新换代，不断提升自主创新能力，努力做到核心技术处于同行业领先水平。</w:t>
      </w:r>
    </w:p>
    <w:p w:rsidR="003A3D65" w:rsidRPr="00D73475" w:rsidRDefault="00D73475" w:rsidP="00D73475">
      <w:pPr>
        <w:spacing w:line="360" w:lineRule="auto"/>
        <w:ind w:firstLine="560"/>
        <w:rPr>
          <w:rFonts w:ascii="仿宋" w:eastAsia="仿宋" w:hAnsi="仿宋"/>
          <w:sz w:val="25"/>
        </w:rPr>
      </w:pPr>
      <w:r w:rsidRPr="00D73475">
        <w:rPr>
          <w:rFonts w:ascii="仿宋" w:eastAsia="仿宋" w:hAnsi="仿宋"/>
          <w:sz w:val="28"/>
        </w:rPr>
        <w:t>第</w:t>
      </w:r>
      <w:r w:rsidRPr="00D73475">
        <w:rPr>
          <w:rFonts w:ascii="仿宋" w:eastAsia="仿宋" w:hAnsi="仿宋" w:hint="eastAsia"/>
          <w:sz w:val="28"/>
        </w:rPr>
        <w:t>二十二</w:t>
      </w:r>
      <w:r w:rsidRPr="00D73475">
        <w:rPr>
          <w:rFonts w:ascii="仿宋" w:eastAsia="仿宋" w:hAnsi="仿宋"/>
          <w:sz w:val="28"/>
        </w:rPr>
        <w:t xml:space="preserve">条  </w:t>
      </w:r>
      <w:r w:rsidRPr="00D73475">
        <w:rPr>
          <w:rFonts w:ascii="仿宋" w:eastAsia="仿宋" w:hAnsi="仿宋" w:hint="eastAsia"/>
          <w:sz w:val="28"/>
        </w:rPr>
        <w:t>企业应当重视品牌建设，加强商誉管理，通过提供高质量产品和优质服务等多种方</w:t>
      </w:r>
      <w:r w:rsidRPr="00D73475">
        <w:rPr>
          <w:rFonts w:ascii="仿宋" w:eastAsia="仿宋" w:hAnsi="仿宋" w:hint="eastAsia"/>
          <w:sz w:val="28"/>
        </w:rPr>
        <w:t>式，不断打造和培育主业品牌，切实维护和提升企业品牌的社会认可度。</w:t>
      </w:r>
    </w:p>
    <w:sectPr w:rsidR="003A3D65" w:rsidRPr="00D73475" w:rsidSect="003A3D65"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9" w:rsidRDefault="00D73475" w:rsidP="00E578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13E9" w:rsidRDefault="00D7347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107"/>
    <w:rsid w:val="0001742B"/>
    <w:rsid w:val="00030D87"/>
    <w:rsid w:val="00040D4D"/>
    <w:rsid w:val="00054E86"/>
    <w:rsid w:val="000562D7"/>
    <w:rsid w:val="00061DB2"/>
    <w:rsid w:val="00085298"/>
    <w:rsid w:val="000A638F"/>
    <w:rsid w:val="000E3A8E"/>
    <w:rsid w:val="001439A5"/>
    <w:rsid w:val="00147C82"/>
    <w:rsid w:val="001A54C1"/>
    <w:rsid w:val="001B695F"/>
    <w:rsid w:val="001D4ED0"/>
    <w:rsid w:val="00203DE9"/>
    <w:rsid w:val="002240CF"/>
    <w:rsid w:val="00256D4F"/>
    <w:rsid w:val="00287AD2"/>
    <w:rsid w:val="00326C40"/>
    <w:rsid w:val="003406C3"/>
    <w:rsid w:val="003759B8"/>
    <w:rsid w:val="003A3D65"/>
    <w:rsid w:val="003E02C5"/>
    <w:rsid w:val="004B4253"/>
    <w:rsid w:val="004D0F9C"/>
    <w:rsid w:val="004D1AF1"/>
    <w:rsid w:val="004D33C3"/>
    <w:rsid w:val="005009C6"/>
    <w:rsid w:val="00522B94"/>
    <w:rsid w:val="00592492"/>
    <w:rsid w:val="005C5615"/>
    <w:rsid w:val="005E14FA"/>
    <w:rsid w:val="00662882"/>
    <w:rsid w:val="00664F1D"/>
    <w:rsid w:val="006967CD"/>
    <w:rsid w:val="006A5ACE"/>
    <w:rsid w:val="006B26F3"/>
    <w:rsid w:val="006C0DF0"/>
    <w:rsid w:val="00716646"/>
    <w:rsid w:val="007461AE"/>
    <w:rsid w:val="00771A82"/>
    <w:rsid w:val="00785ACB"/>
    <w:rsid w:val="007A747B"/>
    <w:rsid w:val="00820703"/>
    <w:rsid w:val="00825107"/>
    <w:rsid w:val="00826431"/>
    <w:rsid w:val="0087338E"/>
    <w:rsid w:val="00903966"/>
    <w:rsid w:val="00943007"/>
    <w:rsid w:val="00952168"/>
    <w:rsid w:val="009558AC"/>
    <w:rsid w:val="009564E1"/>
    <w:rsid w:val="009775BF"/>
    <w:rsid w:val="009B6FE3"/>
    <w:rsid w:val="009C094E"/>
    <w:rsid w:val="00A306A5"/>
    <w:rsid w:val="00A45D44"/>
    <w:rsid w:val="00A75EF8"/>
    <w:rsid w:val="00AD744B"/>
    <w:rsid w:val="00AE1EBF"/>
    <w:rsid w:val="00AF3CE1"/>
    <w:rsid w:val="00B3769D"/>
    <w:rsid w:val="00B5491C"/>
    <w:rsid w:val="00B65C83"/>
    <w:rsid w:val="00BD044F"/>
    <w:rsid w:val="00C04E04"/>
    <w:rsid w:val="00C10A05"/>
    <w:rsid w:val="00C3286D"/>
    <w:rsid w:val="00CD3BA2"/>
    <w:rsid w:val="00D01BDA"/>
    <w:rsid w:val="00D132DB"/>
    <w:rsid w:val="00D27118"/>
    <w:rsid w:val="00D54FB0"/>
    <w:rsid w:val="00D73475"/>
    <w:rsid w:val="00DE216F"/>
    <w:rsid w:val="00DE23FD"/>
    <w:rsid w:val="00E86A92"/>
    <w:rsid w:val="00E91245"/>
    <w:rsid w:val="00EC1224"/>
    <w:rsid w:val="00EF3B46"/>
    <w:rsid w:val="00F20158"/>
    <w:rsid w:val="00F71B68"/>
    <w:rsid w:val="00F862F9"/>
    <w:rsid w:val="00FB6EB0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0F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73475"/>
    <w:pPr>
      <w:keepNext/>
      <w:keepLines/>
      <w:spacing w:before="360" w:after="360"/>
      <w:jc w:val="center"/>
      <w:outlineLvl w:val="2"/>
    </w:pPr>
    <w:rPr>
      <w:rFonts w:ascii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照港制度汇编"/>
    <w:basedOn w:val="2"/>
    <w:qFormat/>
    <w:rsid w:val="004D0F9C"/>
    <w:pPr>
      <w:spacing w:line="580" w:lineRule="exact"/>
      <w:ind w:firstLineChars="200" w:firstLine="200"/>
    </w:pPr>
    <w:rPr>
      <w:rFonts w:eastAsia="仿宋"/>
    </w:rPr>
  </w:style>
  <w:style w:type="character" w:customStyle="1" w:styleId="2Char">
    <w:name w:val="标题 2 Char"/>
    <w:basedOn w:val="a0"/>
    <w:link w:val="2"/>
    <w:uiPriority w:val="9"/>
    <w:semiHidden/>
    <w:rsid w:val="004D0F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73475"/>
    <w:rPr>
      <w:rFonts w:ascii="宋体" w:eastAsia="宋体" w:hAnsi="宋体" w:cs="Times New Roman"/>
      <w:sz w:val="36"/>
      <w:szCs w:val="36"/>
    </w:rPr>
  </w:style>
  <w:style w:type="paragraph" w:styleId="a4">
    <w:name w:val="footer"/>
    <w:basedOn w:val="a"/>
    <w:link w:val="Char"/>
    <w:rsid w:val="00D7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7347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7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Ge</dc:creator>
  <cp:keywords/>
  <dc:description/>
  <cp:lastModifiedBy>William Ge</cp:lastModifiedBy>
  <cp:revision>2</cp:revision>
  <dcterms:created xsi:type="dcterms:W3CDTF">2013-03-06T08:30:00Z</dcterms:created>
  <dcterms:modified xsi:type="dcterms:W3CDTF">2013-03-06T08:31:00Z</dcterms:modified>
</cp:coreProperties>
</file>